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HARMONOGRAM UDZIELANIA NIEODPŁATNEJ POMOCY PRAWNEJ LUB ŚWIADCZENIA NIEODPŁATNEGO PORADNICTWA OBYWATELSK</w:t>
      </w:r>
      <w:r w:rsidR="007C292C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IEGO W POWIECIE MIELECKIM W 2022</w:t>
      </w:r>
      <w: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tbl>
      <w:tblPr>
        <w:tblStyle w:val="Tabela-Siatka"/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061"/>
        <w:gridCol w:w="1237"/>
        <w:gridCol w:w="1264"/>
        <w:gridCol w:w="1277"/>
        <w:gridCol w:w="1274"/>
        <w:gridCol w:w="1415"/>
        <w:gridCol w:w="1560"/>
        <w:gridCol w:w="1557"/>
        <w:gridCol w:w="1910"/>
        <w:gridCol w:w="1858"/>
      </w:tblGrid>
      <w:tr w:rsidR="00C16924" w:rsidTr="003C1C51">
        <w:trPr>
          <w:trHeight w:val="926"/>
          <w:jc w:val="center"/>
        </w:trPr>
        <w:tc>
          <w:tcPr>
            <w:tcW w:w="315" w:type="pct"/>
            <w:vMerge w:val="restart"/>
            <w:vAlign w:val="center"/>
          </w:tcPr>
          <w:p w:rsidR="00C16924" w:rsidRDefault="00C16924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45" w:type="pct"/>
            <w:vAlign w:val="center"/>
          </w:tcPr>
          <w:p w:rsidR="00C16924" w:rsidRDefault="00C16924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813" w:type="pct"/>
            <w:gridSpan w:val="2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 - NIEODPŁATNEJ POMOCY PRAWNEJ</w:t>
            </w:r>
          </w:p>
        </w:tc>
        <w:tc>
          <w:tcPr>
            <w:tcW w:w="1289" w:type="pct"/>
            <w:gridSpan w:val="3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 - NIEODPŁATNEGO PORADNICTWA OBYWATELSKIEGO</w:t>
            </w:r>
          </w:p>
        </w:tc>
        <w:tc>
          <w:tcPr>
            <w:tcW w:w="1013" w:type="pct"/>
            <w:gridSpan w:val="2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 - NIEODPŁATNEGO PORADNICTWA OBYWATELSKIEGO</w:t>
            </w:r>
          </w:p>
        </w:tc>
        <w:tc>
          <w:tcPr>
            <w:tcW w:w="621" w:type="pct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 NIEODPŁATNEJ POMOCY PRAWNEJ</w:t>
            </w:r>
          </w:p>
        </w:tc>
        <w:tc>
          <w:tcPr>
            <w:tcW w:w="604" w:type="pct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 NIEODPŁATNEJ POMOCY PRAWNEJ</w:t>
            </w:r>
          </w:p>
        </w:tc>
      </w:tr>
      <w:tr w:rsidR="00C16924" w:rsidTr="003C1C51">
        <w:trPr>
          <w:trHeight w:val="587"/>
          <w:jc w:val="center"/>
        </w:trPr>
        <w:tc>
          <w:tcPr>
            <w:tcW w:w="315" w:type="pct"/>
            <w:vMerge/>
            <w:vAlign w:val="center"/>
            <w:hideMark/>
          </w:tcPr>
          <w:p w:rsidR="00C16924" w:rsidRDefault="00C16924">
            <w:pPr>
              <w:rPr>
                <w:rStyle w:val="Uwydatnienie"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rPr>
                <w:rStyle w:val="Uwydatnienie"/>
                <w:sz w:val="20"/>
              </w:rPr>
            </w:pPr>
            <w:r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813" w:type="pct"/>
            <w:gridSpan w:val="2"/>
            <w:vAlign w:val="center"/>
            <w:hideMark/>
          </w:tcPr>
          <w:p w:rsidR="007C292C" w:rsidRDefault="007C292C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 „Nowe Życie”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ul. Chopina 8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39-300 Mielec </w:t>
            </w:r>
          </w:p>
        </w:tc>
        <w:tc>
          <w:tcPr>
            <w:tcW w:w="1289" w:type="pct"/>
            <w:gridSpan w:val="3"/>
            <w:vAlign w:val="center"/>
            <w:hideMark/>
          </w:tcPr>
          <w:p w:rsidR="00C16924" w:rsidRDefault="00C16924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„Pasieka” – Fundacja Rozwoju i Wsparcia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ul. Pl. Jana Kilińskiego 2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35-005 Rzeszów</w:t>
            </w:r>
          </w:p>
        </w:tc>
        <w:tc>
          <w:tcPr>
            <w:tcW w:w="1013" w:type="pct"/>
            <w:gridSpan w:val="2"/>
            <w:vAlign w:val="center"/>
            <w:hideMark/>
          </w:tcPr>
          <w:p w:rsidR="00C16924" w:rsidRDefault="00C16924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Wspierania Zasobów Ludzkich „Nowy Horyzont”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ul. Leszczyńskiego 3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35-061 Rzeszów</w:t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621" w:type="pct"/>
            <w:vAlign w:val="center"/>
            <w:hideMark/>
          </w:tcPr>
          <w:p w:rsidR="00C16924" w:rsidRDefault="00C16924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Izba Radców Prawnych </w:t>
            </w:r>
            <w:r>
              <w:rPr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  <w:tc>
          <w:tcPr>
            <w:tcW w:w="604" w:type="pct"/>
            <w:vAlign w:val="center"/>
            <w:hideMark/>
          </w:tcPr>
          <w:p w:rsidR="00C16924" w:rsidRDefault="00C16924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Okręgowa Rada Adwokacka</w:t>
            </w:r>
          </w:p>
          <w:p w:rsidR="00C16924" w:rsidRDefault="00C16924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3C1C51" w:rsidTr="003C1C51">
        <w:trPr>
          <w:trHeight w:val="587"/>
          <w:jc w:val="center"/>
        </w:trPr>
        <w:tc>
          <w:tcPr>
            <w:tcW w:w="315" w:type="pct"/>
            <w:vAlign w:val="center"/>
            <w:hideMark/>
          </w:tcPr>
          <w:p w:rsidR="00C16924" w:rsidRDefault="00C16924">
            <w:pPr>
              <w:rPr>
                <w:rStyle w:val="Uwydatnienie"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  <w:hideMark/>
          </w:tcPr>
          <w:p w:rsidR="00C16924" w:rsidRDefault="00C16924" w:rsidP="00526D14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16924" w:rsidRDefault="00C16924" w:rsidP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15" w:type="pct"/>
            <w:shd w:val="clear" w:color="auto" w:fill="FFFFFF" w:themeFill="background1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Padew Narodowa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Borowa</w:t>
            </w:r>
          </w:p>
        </w:tc>
        <w:tc>
          <w:tcPr>
            <w:tcW w:w="507" w:type="pct"/>
            <w:shd w:val="clear" w:color="auto" w:fill="FFFFFF" w:themeFill="background1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506" w:type="pct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621" w:type="pct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  <w:tc>
          <w:tcPr>
            <w:tcW w:w="604" w:type="pct"/>
            <w:vAlign w:val="center"/>
            <w:hideMark/>
          </w:tcPr>
          <w:p w:rsidR="00C16924" w:rsidRDefault="00C16924" w:rsidP="00C16924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</w:tr>
      <w:tr w:rsidR="003C1C51" w:rsidTr="003C1C51">
        <w:trPr>
          <w:trHeight w:val="587"/>
          <w:jc w:val="center"/>
        </w:trPr>
        <w:tc>
          <w:tcPr>
            <w:tcW w:w="315" w:type="pct"/>
            <w:vAlign w:val="center"/>
            <w:hideMark/>
          </w:tcPr>
          <w:p w:rsidR="00C16924" w:rsidRDefault="00C16924">
            <w:pPr>
              <w:rPr>
                <w:rStyle w:val="Uwydatnienie"/>
              </w:rPr>
            </w:pPr>
          </w:p>
        </w:tc>
        <w:tc>
          <w:tcPr>
            <w:tcW w:w="345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C16924" w:rsidRDefault="00C16924" w:rsidP="007C292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 xml:space="preserve">ul. Rynek </w:t>
            </w:r>
            <w:r w:rsidR="007C292C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16924" w:rsidRDefault="00C16924" w:rsidP="009929C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Zielona 50</w:t>
            </w:r>
          </w:p>
        </w:tc>
        <w:tc>
          <w:tcPr>
            <w:tcW w:w="415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Rynek 15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Borowa 223</w:t>
            </w:r>
          </w:p>
        </w:tc>
        <w:tc>
          <w:tcPr>
            <w:tcW w:w="507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506" w:type="pct"/>
            <w:vAlign w:val="center"/>
            <w:hideMark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621" w:type="pct"/>
            <w:vAlign w:val="center"/>
            <w:hideMark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  <w:tc>
          <w:tcPr>
            <w:tcW w:w="604" w:type="pct"/>
            <w:vAlign w:val="center"/>
            <w:hideMark/>
          </w:tcPr>
          <w:p w:rsidR="00C16924" w:rsidRDefault="00C16924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</w:tr>
      <w:tr w:rsidR="003C1C51" w:rsidTr="003C1C51">
        <w:trPr>
          <w:trHeight w:val="781"/>
          <w:jc w:val="center"/>
        </w:trPr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45" w:type="pct"/>
            <w:shd w:val="clear" w:color="auto" w:fill="FFFFFF" w:themeFill="background1"/>
            <w:vAlign w:val="center"/>
            <w:hideMark/>
          </w:tcPr>
          <w:p w:rsidR="00C16924" w:rsidRDefault="00C16924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C16924" w:rsidRDefault="007C29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Dom Seniora</w:t>
            </w: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16924" w:rsidRDefault="007C29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Szkoła Podstawowa</w:t>
            </w:r>
          </w:p>
        </w:tc>
        <w:tc>
          <w:tcPr>
            <w:tcW w:w="415" w:type="pct"/>
            <w:shd w:val="clear" w:color="auto" w:fill="FFFFFF" w:themeFill="background1"/>
            <w:vAlign w:val="center"/>
            <w:hideMark/>
          </w:tcPr>
          <w:p w:rsidR="00C16924" w:rsidRDefault="007C292C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Gminny Ośrodek </w:t>
            </w:r>
            <w:r w:rsidR="00C16924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Kultury</w:t>
            </w: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:rsidR="00C16924" w:rsidRDefault="007C292C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Urząd </w:t>
            </w:r>
            <w:r w:rsidR="00C16924"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Gminy </w:t>
            </w:r>
          </w:p>
        </w:tc>
        <w:tc>
          <w:tcPr>
            <w:tcW w:w="460" w:type="pct"/>
            <w:shd w:val="clear" w:color="auto" w:fill="FFFFFF" w:themeFill="background1"/>
          </w:tcPr>
          <w:p w:rsidR="00DB79F4" w:rsidRDefault="00DB79F4" w:rsidP="00DB79F4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</w:p>
          <w:p w:rsidR="00C16924" w:rsidRDefault="007C292C" w:rsidP="00DB79F4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Urząd</w:t>
            </w:r>
            <w:r w:rsidR="00DB79F4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C16924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Gminy</w:t>
            </w:r>
          </w:p>
        </w:tc>
        <w:tc>
          <w:tcPr>
            <w:tcW w:w="507" w:type="pct"/>
            <w:shd w:val="clear" w:color="auto" w:fill="FFFFFF" w:themeFill="background1"/>
            <w:vAlign w:val="center"/>
            <w:hideMark/>
          </w:tcPr>
          <w:p w:rsidR="00C16924" w:rsidRDefault="007C292C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Urząd</w:t>
            </w:r>
            <w:r w:rsidR="00C16924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 Gminy</w:t>
            </w:r>
          </w:p>
        </w:tc>
        <w:tc>
          <w:tcPr>
            <w:tcW w:w="506" w:type="pct"/>
            <w:vAlign w:val="center"/>
            <w:hideMark/>
          </w:tcPr>
          <w:p w:rsidR="00C16924" w:rsidRDefault="007C292C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Gminna</w:t>
            </w:r>
          </w:p>
          <w:p w:rsidR="00C16924" w:rsidRDefault="007C292C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Biblioteka Publiczna</w:t>
            </w:r>
          </w:p>
        </w:tc>
        <w:tc>
          <w:tcPr>
            <w:tcW w:w="621" w:type="pct"/>
            <w:vAlign w:val="center"/>
            <w:hideMark/>
          </w:tcPr>
          <w:p w:rsidR="00C16924" w:rsidRDefault="007C29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Powiatowe </w:t>
            </w:r>
            <w:r w:rsidR="00C16924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Centrum Pomocy Rodzinie w Mielcu</w:t>
            </w:r>
          </w:p>
        </w:tc>
        <w:tc>
          <w:tcPr>
            <w:tcW w:w="604" w:type="pct"/>
            <w:vAlign w:val="center"/>
            <w:hideMark/>
          </w:tcPr>
          <w:p w:rsidR="00C16924" w:rsidRDefault="007C29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</w:t>
            </w:r>
            <w:r w:rsidR="00C16924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 Centrum Pomocy Rodzinie w Mielcu</w:t>
            </w:r>
          </w:p>
        </w:tc>
      </w:tr>
      <w:tr w:rsidR="003C1C51" w:rsidTr="003C1C51">
        <w:trPr>
          <w:trHeight w:val="611"/>
          <w:jc w:val="center"/>
        </w:trPr>
        <w:tc>
          <w:tcPr>
            <w:tcW w:w="660" w:type="pct"/>
            <w:gridSpan w:val="2"/>
            <w:shd w:val="clear" w:color="auto" w:fill="FFFFFF" w:themeFill="background1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Poniedziałek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507" w:type="pct"/>
            <w:shd w:val="clear" w:color="auto" w:fill="FFFFFF" w:themeFill="background1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506" w:type="pct"/>
            <w:vAlign w:val="center"/>
          </w:tcPr>
          <w:p w:rsidR="00C16924" w:rsidRDefault="00C16924" w:rsidP="00922265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21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  <w:tc>
          <w:tcPr>
            <w:tcW w:w="604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</w:tr>
      <w:tr w:rsidR="003C1C51" w:rsidTr="003C1C51">
        <w:trPr>
          <w:trHeight w:val="590"/>
          <w:jc w:val="center"/>
        </w:trPr>
        <w:tc>
          <w:tcPr>
            <w:tcW w:w="660" w:type="pct"/>
            <w:gridSpan w:val="2"/>
            <w:shd w:val="clear" w:color="auto" w:fill="FFFFFF" w:themeFill="background1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</w:t>
            </w:r>
            <w:r w:rsidR="007C292C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13</w:t>
            </w:r>
            <w:r w:rsidRP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506" w:type="pct"/>
            <w:vAlign w:val="center"/>
            <w:hideMark/>
          </w:tcPr>
          <w:p w:rsidR="00C16924" w:rsidRDefault="00526D1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621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– 12.00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  <w:tc>
          <w:tcPr>
            <w:tcW w:w="604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</w:tr>
      <w:tr w:rsidR="003C1C51" w:rsidTr="003C1C51">
        <w:trPr>
          <w:trHeight w:val="584"/>
          <w:jc w:val="center"/>
        </w:trPr>
        <w:tc>
          <w:tcPr>
            <w:tcW w:w="660" w:type="pct"/>
            <w:gridSpan w:val="2"/>
            <w:shd w:val="clear" w:color="auto" w:fill="FFFFFF" w:themeFill="background1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8.00 -13.3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506" w:type="pct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621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  <w:tc>
          <w:tcPr>
            <w:tcW w:w="604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</w:tr>
      <w:tr w:rsidR="003C1C51" w:rsidTr="003C1C51">
        <w:trPr>
          <w:trHeight w:val="593"/>
          <w:jc w:val="center"/>
        </w:trPr>
        <w:tc>
          <w:tcPr>
            <w:tcW w:w="660" w:type="pct"/>
            <w:gridSpan w:val="2"/>
            <w:shd w:val="clear" w:color="auto" w:fill="FFFFFF" w:themeFill="background1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8.00 -13.3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506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621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  <w:tc>
          <w:tcPr>
            <w:tcW w:w="604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</w:tr>
      <w:tr w:rsidR="003C1C51" w:rsidTr="003C1C51">
        <w:trPr>
          <w:trHeight w:val="600"/>
          <w:jc w:val="center"/>
        </w:trPr>
        <w:tc>
          <w:tcPr>
            <w:tcW w:w="660" w:type="pct"/>
            <w:gridSpan w:val="2"/>
            <w:shd w:val="clear" w:color="auto" w:fill="FFFFFF" w:themeFill="background1"/>
            <w:vAlign w:val="center"/>
            <w:hideMark/>
          </w:tcPr>
          <w:p w:rsidR="00C16924" w:rsidRDefault="00C1692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8.00 -13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  <w:hideMark/>
          </w:tcPr>
          <w:p w:rsidR="00C16924" w:rsidRDefault="007C292C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15</w:t>
            </w:r>
            <w:r w:rsidR="00C16924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.00 -20.00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</w:p>
        </w:tc>
        <w:tc>
          <w:tcPr>
            <w:tcW w:w="506" w:type="pct"/>
            <w:vAlign w:val="center"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621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  <w:tc>
          <w:tcPr>
            <w:tcW w:w="604" w:type="pct"/>
            <w:vAlign w:val="center"/>
            <w:hideMark/>
          </w:tcPr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C16924" w:rsidRDefault="00C16924" w:rsidP="0092226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</w:p>
        </w:tc>
      </w:tr>
    </w:tbl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CA725F" w:rsidRPr="007F0BF9" w:rsidRDefault="00CA725F" w:rsidP="003C1C51">
      <w:pPr>
        <w:pStyle w:val="Akapitzlist"/>
        <w:numPr>
          <w:ilvl w:val="0"/>
          <w:numId w:val="27"/>
        </w:numPr>
        <w:jc w:val="both"/>
        <w:rPr>
          <w:rFonts w:cstheme="minorHAnsi"/>
          <w:sz w:val="20"/>
          <w:szCs w:val="20"/>
        </w:rPr>
      </w:pPr>
      <w:r w:rsidRPr="007F0BF9">
        <w:rPr>
          <w:rFonts w:cstheme="minorHAnsi"/>
          <w:bCs/>
          <w:sz w:val="20"/>
          <w:szCs w:val="20"/>
        </w:rPr>
        <w:t>Nieodpłatna pomoc prawna przysługuje osobie, która nie jest w stanie ponieść k</w:t>
      </w:r>
      <w:r w:rsidR="007C292C" w:rsidRPr="007F0BF9">
        <w:rPr>
          <w:rFonts w:cstheme="minorHAnsi"/>
          <w:bCs/>
          <w:sz w:val="20"/>
          <w:szCs w:val="20"/>
        </w:rPr>
        <w:t>osztów odpłatnej pomocy prawnej albo osobie samozatrudnionej</w:t>
      </w:r>
      <w:r w:rsidR="003C1C51" w:rsidRPr="007F0BF9">
        <w:rPr>
          <w:rFonts w:cstheme="minorHAnsi"/>
          <w:bCs/>
          <w:sz w:val="20"/>
          <w:szCs w:val="20"/>
        </w:rPr>
        <w:t>, niezatrudniającej innych osób</w:t>
      </w:r>
      <w:r w:rsidR="003C1C51" w:rsidRPr="007F0BF9">
        <w:rPr>
          <w:rFonts w:cstheme="minorHAnsi"/>
          <w:bCs/>
          <w:sz w:val="20"/>
          <w:szCs w:val="20"/>
        </w:rPr>
        <w:br/>
        <w:t>w ciągu ostatniego roku.</w:t>
      </w:r>
    </w:p>
    <w:p w:rsidR="00CA725F" w:rsidRPr="007F0BF9" w:rsidRDefault="00CA725F" w:rsidP="003C1C51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0"/>
          <w:szCs w:val="20"/>
        </w:rPr>
      </w:pPr>
      <w:r w:rsidRPr="007F0BF9">
        <w:rPr>
          <w:rFonts w:cstheme="minorHAnsi"/>
          <w:bCs/>
          <w:sz w:val="20"/>
          <w:szCs w:val="20"/>
        </w:rPr>
        <w:t xml:space="preserve">Zgłoszeń do punktów  można dokonywać </w:t>
      </w:r>
      <w:r w:rsidR="003C1C51" w:rsidRPr="007F0BF9">
        <w:rPr>
          <w:rFonts w:cstheme="minorHAnsi"/>
          <w:b/>
          <w:bCs/>
          <w:sz w:val="20"/>
          <w:szCs w:val="20"/>
        </w:rPr>
        <w:t>telefonicznie pod nr</w:t>
      </w:r>
      <w:r w:rsidRPr="007F0BF9">
        <w:rPr>
          <w:rFonts w:cstheme="minorHAnsi"/>
          <w:b/>
          <w:bCs/>
          <w:sz w:val="20"/>
          <w:szCs w:val="20"/>
        </w:rPr>
        <w:t xml:space="preserve">: </w:t>
      </w:r>
      <w:r w:rsidR="007C292C" w:rsidRPr="007F0BF9">
        <w:rPr>
          <w:rFonts w:cstheme="minorHAnsi"/>
          <w:b/>
          <w:sz w:val="20"/>
          <w:szCs w:val="20"/>
        </w:rPr>
        <w:t>17 78 00 416</w:t>
      </w:r>
      <w:r w:rsidRPr="007F0BF9">
        <w:rPr>
          <w:rFonts w:cstheme="minorHAnsi"/>
          <w:sz w:val="20"/>
          <w:szCs w:val="20"/>
        </w:rPr>
        <w:t xml:space="preserve"> (p</w:t>
      </w:r>
      <w:r w:rsidR="007C292C" w:rsidRPr="007F0BF9">
        <w:rPr>
          <w:rFonts w:cstheme="minorHAnsi"/>
          <w:sz w:val="20"/>
          <w:szCs w:val="20"/>
        </w:rPr>
        <w:t>on. –</w:t>
      </w:r>
      <w:r w:rsidR="003C1C51" w:rsidRPr="007F0BF9">
        <w:rPr>
          <w:rFonts w:cstheme="minorHAnsi"/>
          <w:sz w:val="20"/>
          <w:szCs w:val="20"/>
        </w:rPr>
        <w:t xml:space="preserve"> </w:t>
      </w:r>
      <w:r w:rsidR="007C292C" w:rsidRPr="007F0BF9">
        <w:rPr>
          <w:rFonts w:cstheme="minorHAnsi"/>
          <w:sz w:val="20"/>
          <w:szCs w:val="20"/>
        </w:rPr>
        <w:t>pt.</w:t>
      </w:r>
      <w:r w:rsidR="009929CC" w:rsidRPr="007F0BF9">
        <w:rPr>
          <w:rFonts w:cstheme="minorHAnsi"/>
          <w:sz w:val="20"/>
          <w:szCs w:val="20"/>
        </w:rPr>
        <w:t>, w godz. 7.30-15.30</w:t>
      </w:r>
      <w:r w:rsidRPr="007F0BF9">
        <w:rPr>
          <w:rFonts w:cstheme="minorHAnsi"/>
          <w:sz w:val="20"/>
          <w:szCs w:val="20"/>
        </w:rPr>
        <w:t>)</w:t>
      </w:r>
      <w:r w:rsidR="003C1C51" w:rsidRPr="007F0BF9">
        <w:rPr>
          <w:rFonts w:cstheme="minorHAnsi"/>
          <w:bCs/>
          <w:sz w:val="20"/>
          <w:szCs w:val="20"/>
        </w:rPr>
        <w:t>,</w:t>
      </w:r>
      <w:r w:rsidR="007C292C" w:rsidRPr="007F0BF9">
        <w:rPr>
          <w:rFonts w:cstheme="minorHAnsi"/>
          <w:bCs/>
          <w:sz w:val="20"/>
          <w:szCs w:val="20"/>
        </w:rPr>
        <w:t xml:space="preserve"> </w:t>
      </w:r>
      <w:r w:rsidR="007C292C" w:rsidRPr="007F0BF9">
        <w:rPr>
          <w:rFonts w:cstheme="minorHAnsi"/>
          <w:b/>
          <w:bCs/>
          <w:sz w:val="20"/>
          <w:szCs w:val="20"/>
        </w:rPr>
        <w:t>e-mailem</w:t>
      </w:r>
      <w:r w:rsidR="003C1C51" w:rsidRPr="007F0BF9">
        <w:rPr>
          <w:rFonts w:cstheme="minorHAnsi"/>
          <w:b/>
          <w:bCs/>
          <w:sz w:val="20"/>
          <w:szCs w:val="20"/>
        </w:rPr>
        <w:t xml:space="preserve">: </w:t>
      </w:r>
      <w:hyperlink r:id="rId6" w:history="1">
        <w:r w:rsidR="007C292C" w:rsidRPr="007F0BF9">
          <w:rPr>
            <w:rStyle w:val="Hipercze"/>
            <w:rFonts w:cstheme="minorHAnsi"/>
            <w:b/>
            <w:bCs/>
            <w:color w:val="auto"/>
            <w:sz w:val="20"/>
            <w:szCs w:val="20"/>
            <w:u w:val="none"/>
          </w:rPr>
          <w:t>npp@powiat-mielecki.pl</w:t>
        </w:r>
      </w:hyperlink>
      <w:r w:rsidR="003C1C51" w:rsidRPr="007F0BF9">
        <w:rPr>
          <w:rStyle w:val="Hipercze"/>
          <w:rFonts w:cstheme="minorHAnsi"/>
          <w:b/>
          <w:bCs/>
          <w:sz w:val="20"/>
          <w:szCs w:val="20"/>
          <w:u w:val="none"/>
        </w:rPr>
        <w:t xml:space="preserve"> </w:t>
      </w:r>
      <w:r w:rsidR="003C1C51" w:rsidRPr="007F0BF9">
        <w:rPr>
          <w:rStyle w:val="Hipercze"/>
          <w:rFonts w:cstheme="minorHAnsi"/>
          <w:bCs/>
          <w:color w:val="auto"/>
          <w:sz w:val="20"/>
          <w:szCs w:val="20"/>
          <w:u w:val="none"/>
        </w:rPr>
        <w:t>lub</w:t>
      </w:r>
      <w:r w:rsidR="003C1C51" w:rsidRPr="007F0BF9">
        <w:rPr>
          <w:rStyle w:val="Hipercze"/>
          <w:rFonts w:cstheme="minorHAnsi"/>
          <w:b/>
          <w:bCs/>
          <w:color w:val="auto"/>
          <w:sz w:val="20"/>
          <w:szCs w:val="20"/>
          <w:u w:val="none"/>
        </w:rPr>
        <w:t xml:space="preserve"> na stronie: https://np.ms.gov.pl/</w:t>
      </w:r>
    </w:p>
    <w:p w:rsidR="00CA725F" w:rsidRPr="007F0BF9" w:rsidRDefault="00CA725F" w:rsidP="003C1C51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0"/>
          <w:szCs w:val="20"/>
        </w:rPr>
      </w:pPr>
      <w:r w:rsidRPr="007F0BF9">
        <w:rPr>
          <w:rFonts w:cstheme="minorHAnsi"/>
          <w:bCs/>
          <w:sz w:val="20"/>
          <w:szCs w:val="20"/>
        </w:rPr>
        <w:t>Osoby, które ze względu na stopień niepełnosprawności ruchowej oraz osoby z dysfunkcjam</w:t>
      </w:r>
      <w:bookmarkStart w:id="0" w:name="_GoBack"/>
      <w:bookmarkEnd w:id="0"/>
      <w:r w:rsidRPr="007F0BF9">
        <w:rPr>
          <w:rFonts w:cstheme="minorHAnsi"/>
          <w:bCs/>
          <w:sz w:val="20"/>
          <w:szCs w:val="20"/>
        </w:rPr>
        <w:t>i narządów mowy i słuchu nie są w stanie przybyć do punktu, będą mogły  skorzystać z pomocy prawnej poza punktem nieodpłatnej pomocy prawnej albo otrzymać poradę prawną przez telefon lub drogą elektroniczną.</w:t>
      </w:r>
      <w:r w:rsidRPr="007F0BF9">
        <w:rPr>
          <w:rFonts w:cstheme="minorHAnsi"/>
          <w:sz w:val="20"/>
          <w:szCs w:val="20"/>
        </w:rPr>
        <w:t xml:space="preserve"> </w:t>
      </w:r>
      <w:r w:rsidRPr="007F0BF9">
        <w:rPr>
          <w:rFonts w:cstheme="minorHAnsi"/>
          <w:bCs/>
          <w:sz w:val="20"/>
          <w:szCs w:val="20"/>
        </w:rPr>
        <w:t>Porada prawna  będzie udzielana w warunkach i na zasadach adekwatnych do niepełnosprawności danej osoby.</w:t>
      </w:r>
    </w:p>
    <w:p w:rsidR="00BE1DC4" w:rsidRPr="007F0BF9" w:rsidRDefault="00DD409E" w:rsidP="003C1C51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7F0BF9">
        <w:rPr>
          <w:rFonts w:cstheme="minorHAnsi"/>
          <w:sz w:val="20"/>
          <w:szCs w:val="20"/>
          <w:lang w:eastAsia="pl-PL"/>
        </w:rPr>
        <w:t xml:space="preserve">W przypadku obowiązywania stanu zagrożenia epidemicznego, stanu epidemii albo wprowadzenia stanu nadzwyczajnego świadczenie </w:t>
      </w:r>
      <w:r w:rsidR="007C292C" w:rsidRPr="007F0BF9">
        <w:rPr>
          <w:rFonts w:cstheme="minorHAnsi"/>
          <w:sz w:val="20"/>
          <w:szCs w:val="20"/>
          <w:lang w:eastAsia="pl-PL"/>
        </w:rPr>
        <w:t>pomocy prawnej</w:t>
      </w:r>
      <w:r w:rsidRPr="007F0BF9">
        <w:rPr>
          <w:rFonts w:cstheme="minorHAnsi"/>
          <w:sz w:val="20"/>
          <w:szCs w:val="20"/>
          <w:lang w:eastAsia="pl-PL"/>
        </w:rPr>
        <w:t xml:space="preserve"> </w:t>
      </w:r>
      <w:r w:rsidR="007C292C" w:rsidRPr="007F0BF9">
        <w:rPr>
          <w:rFonts w:cstheme="minorHAnsi"/>
          <w:sz w:val="20"/>
          <w:szCs w:val="20"/>
          <w:lang w:eastAsia="pl-PL"/>
        </w:rPr>
        <w:t xml:space="preserve">może </w:t>
      </w:r>
      <w:r w:rsidRPr="007F0BF9">
        <w:rPr>
          <w:rFonts w:cstheme="minorHAnsi"/>
          <w:sz w:val="20"/>
          <w:szCs w:val="20"/>
          <w:lang w:eastAsia="pl-PL"/>
        </w:rPr>
        <w:t xml:space="preserve">odbywa się </w:t>
      </w:r>
      <w:r w:rsidR="007C292C" w:rsidRPr="007F0BF9">
        <w:rPr>
          <w:rFonts w:cstheme="minorHAnsi"/>
          <w:sz w:val="20"/>
          <w:szCs w:val="20"/>
          <w:lang w:eastAsia="pl-PL"/>
        </w:rPr>
        <w:t xml:space="preserve">także </w:t>
      </w:r>
      <w:r w:rsidRPr="007F0BF9">
        <w:rPr>
          <w:rFonts w:cstheme="minorHAnsi"/>
          <w:sz w:val="20"/>
          <w:szCs w:val="20"/>
          <w:lang w:eastAsia="pl-PL"/>
        </w:rPr>
        <w:t xml:space="preserve">za pośrednictwem środków porozumiewania się na odległość oraz poza lokalem punktu. Do świadczenia pomocy stosuje się odpowiednio przepisy mające zastosowanie do osób, o których mowa w art. 8 ust. 8 ustawy z dnia 5 sierpnia 2015r. o nieodpłatnej pomocy prawnej, nieodpłatnym poradnictwie obywatelskim oraz edukacji prawnej. </w:t>
      </w:r>
    </w:p>
    <w:sectPr w:rsidR="00BE1DC4" w:rsidRPr="007F0BF9" w:rsidSect="00DD409E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89"/>
    <w:multiLevelType w:val="hybridMultilevel"/>
    <w:tmpl w:val="0234F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C129F"/>
    <w:multiLevelType w:val="hybridMultilevel"/>
    <w:tmpl w:val="382C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A42"/>
    <w:multiLevelType w:val="hybridMultilevel"/>
    <w:tmpl w:val="8D8EE2D2"/>
    <w:lvl w:ilvl="0" w:tplc="59D6ECC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6A3"/>
    <w:multiLevelType w:val="hybridMultilevel"/>
    <w:tmpl w:val="5E42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771"/>
    <w:multiLevelType w:val="multilevel"/>
    <w:tmpl w:val="DD2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17DC2"/>
    <w:multiLevelType w:val="hybridMultilevel"/>
    <w:tmpl w:val="8BC4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27B"/>
    <w:multiLevelType w:val="hybridMultilevel"/>
    <w:tmpl w:val="5E986412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1B6"/>
    <w:multiLevelType w:val="multilevel"/>
    <w:tmpl w:val="931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A3D98"/>
    <w:multiLevelType w:val="hybridMultilevel"/>
    <w:tmpl w:val="472A676E"/>
    <w:lvl w:ilvl="0" w:tplc="20CCA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E1AEB"/>
    <w:multiLevelType w:val="hybridMultilevel"/>
    <w:tmpl w:val="9B58E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343"/>
    <w:multiLevelType w:val="hybridMultilevel"/>
    <w:tmpl w:val="5AF4C3B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CA7"/>
    <w:multiLevelType w:val="hybridMultilevel"/>
    <w:tmpl w:val="0B1448F8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8FE"/>
    <w:multiLevelType w:val="multilevel"/>
    <w:tmpl w:val="EAF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C1CAC"/>
    <w:multiLevelType w:val="multilevel"/>
    <w:tmpl w:val="379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70161"/>
    <w:multiLevelType w:val="multilevel"/>
    <w:tmpl w:val="246A7770"/>
    <w:lvl w:ilvl="0">
      <w:start w:val="3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DF0F97"/>
    <w:multiLevelType w:val="hybridMultilevel"/>
    <w:tmpl w:val="AF24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6315"/>
    <w:multiLevelType w:val="hybridMultilevel"/>
    <w:tmpl w:val="79BCA3EC"/>
    <w:lvl w:ilvl="0" w:tplc="459028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94F86"/>
    <w:multiLevelType w:val="hybridMultilevel"/>
    <w:tmpl w:val="33640DD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C2468"/>
    <w:multiLevelType w:val="multilevel"/>
    <w:tmpl w:val="B9D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57E61"/>
    <w:multiLevelType w:val="hybridMultilevel"/>
    <w:tmpl w:val="5A70CC1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B7A4E"/>
    <w:multiLevelType w:val="multilevel"/>
    <w:tmpl w:val="8B8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352A2"/>
    <w:multiLevelType w:val="hybridMultilevel"/>
    <w:tmpl w:val="B70E0B50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61420"/>
    <w:multiLevelType w:val="multilevel"/>
    <w:tmpl w:val="86E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2075E"/>
    <w:multiLevelType w:val="hybridMultilevel"/>
    <w:tmpl w:val="3FA2B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84FBC"/>
    <w:multiLevelType w:val="multilevel"/>
    <w:tmpl w:val="502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C0F98"/>
    <w:multiLevelType w:val="hybridMultilevel"/>
    <w:tmpl w:val="85A8EA14"/>
    <w:lvl w:ilvl="0" w:tplc="4E6CF6EC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6" w15:restartNumberingAfterBreak="0">
    <w:nsid w:val="7E537960"/>
    <w:multiLevelType w:val="multilevel"/>
    <w:tmpl w:val="39E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E34A9"/>
    <w:multiLevelType w:val="hybridMultilevel"/>
    <w:tmpl w:val="D3EC92F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6"/>
  </w:num>
  <w:num w:numId="5">
    <w:abstractNumId w:val="19"/>
  </w:num>
  <w:num w:numId="6">
    <w:abstractNumId w:val="10"/>
  </w:num>
  <w:num w:numId="7">
    <w:abstractNumId w:val="25"/>
  </w:num>
  <w:num w:numId="8">
    <w:abstractNumId w:val="23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26"/>
  </w:num>
  <w:num w:numId="14">
    <w:abstractNumId w:val="1"/>
  </w:num>
  <w:num w:numId="15">
    <w:abstractNumId w:val="22"/>
  </w:num>
  <w:num w:numId="16">
    <w:abstractNumId w:val="4"/>
  </w:num>
  <w:num w:numId="17">
    <w:abstractNumId w:val="18"/>
  </w:num>
  <w:num w:numId="18">
    <w:abstractNumId w:val="12"/>
  </w:num>
  <w:num w:numId="19">
    <w:abstractNumId w:val="20"/>
  </w:num>
  <w:num w:numId="20">
    <w:abstractNumId w:val="7"/>
  </w:num>
  <w:num w:numId="21">
    <w:abstractNumId w:val="2"/>
  </w:num>
  <w:num w:numId="22">
    <w:abstractNumId w:val="24"/>
  </w:num>
  <w:num w:numId="23">
    <w:abstractNumId w:val="3"/>
  </w:num>
  <w:num w:numId="24">
    <w:abstractNumId w:val="27"/>
  </w:num>
  <w:num w:numId="25">
    <w:abstractNumId w:val="5"/>
  </w:num>
  <w:num w:numId="26">
    <w:abstractNumId w:val="17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F"/>
    <w:rsid w:val="0000123C"/>
    <w:rsid w:val="00014F86"/>
    <w:rsid w:val="00023DCA"/>
    <w:rsid w:val="0003776E"/>
    <w:rsid w:val="00050622"/>
    <w:rsid w:val="00071478"/>
    <w:rsid w:val="00085798"/>
    <w:rsid w:val="000A18E0"/>
    <w:rsid w:val="000B136A"/>
    <w:rsid w:val="000D55A2"/>
    <w:rsid w:val="000F49F7"/>
    <w:rsid w:val="00123550"/>
    <w:rsid w:val="001272FF"/>
    <w:rsid w:val="001331FF"/>
    <w:rsid w:val="0016747B"/>
    <w:rsid w:val="001735CA"/>
    <w:rsid w:val="00180E96"/>
    <w:rsid w:val="001D06AC"/>
    <w:rsid w:val="001D6958"/>
    <w:rsid w:val="001F5B1F"/>
    <w:rsid w:val="0020116B"/>
    <w:rsid w:val="00201439"/>
    <w:rsid w:val="00221CFC"/>
    <w:rsid w:val="00236444"/>
    <w:rsid w:val="00283BCB"/>
    <w:rsid w:val="002A5462"/>
    <w:rsid w:val="002F6EFD"/>
    <w:rsid w:val="00324816"/>
    <w:rsid w:val="0036536F"/>
    <w:rsid w:val="00367F6B"/>
    <w:rsid w:val="00374974"/>
    <w:rsid w:val="00377E4C"/>
    <w:rsid w:val="00385966"/>
    <w:rsid w:val="003B1114"/>
    <w:rsid w:val="003C1C51"/>
    <w:rsid w:val="00413D5F"/>
    <w:rsid w:val="0041547E"/>
    <w:rsid w:val="00420055"/>
    <w:rsid w:val="0043476C"/>
    <w:rsid w:val="00476E40"/>
    <w:rsid w:val="00476E60"/>
    <w:rsid w:val="00477393"/>
    <w:rsid w:val="00494826"/>
    <w:rsid w:val="004A55E0"/>
    <w:rsid w:val="004B6E3B"/>
    <w:rsid w:val="004F151A"/>
    <w:rsid w:val="005224B5"/>
    <w:rsid w:val="00526D14"/>
    <w:rsid w:val="00564528"/>
    <w:rsid w:val="005655E6"/>
    <w:rsid w:val="0056707E"/>
    <w:rsid w:val="0057142D"/>
    <w:rsid w:val="00571723"/>
    <w:rsid w:val="005A03B2"/>
    <w:rsid w:val="005B1561"/>
    <w:rsid w:val="005D541A"/>
    <w:rsid w:val="005E11A9"/>
    <w:rsid w:val="005E2D2E"/>
    <w:rsid w:val="005F50BF"/>
    <w:rsid w:val="00680146"/>
    <w:rsid w:val="0068440C"/>
    <w:rsid w:val="00692954"/>
    <w:rsid w:val="006A72A4"/>
    <w:rsid w:val="006B51A5"/>
    <w:rsid w:val="006F2EB7"/>
    <w:rsid w:val="00714CB9"/>
    <w:rsid w:val="00736591"/>
    <w:rsid w:val="00741F7C"/>
    <w:rsid w:val="00756B87"/>
    <w:rsid w:val="00766ADF"/>
    <w:rsid w:val="007963B2"/>
    <w:rsid w:val="007C292C"/>
    <w:rsid w:val="007D4797"/>
    <w:rsid w:val="007E691C"/>
    <w:rsid w:val="007F0BF9"/>
    <w:rsid w:val="007F3118"/>
    <w:rsid w:val="00851846"/>
    <w:rsid w:val="00856DBB"/>
    <w:rsid w:val="008739A6"/>
    <w:rsid w:val="00887F62"/>
    <w:rsid w:val="008B341E"/>
    <w:rsid w:val="008C0CDA"/>
    <w:rsid w:val="00922265"/>
    <w:rsid w:val="00923BB8"/>
    <w:rsid w:val="0094488D"/>
    <w:rsid w:val="00955500"/>
    <w:rsid w:val="00963257"/>
    <w:rsid w:val="00966A6F"/>
    <w:rsid w:val="009929CC"/>
    <w:rsid w:val="009B2876"/>
    <w:rsid w:val="009E55ED"/>
    <w:rsid w:val="009E6551"/>
    <w:rsid w:val="009E68DF"/>
    <w:rsid w:val="009F5022"/>
    <w:rsid w:val="00A907C5"/>
    <w:rsid w:val="00AA0142"/>
    <w:rsid w:val="00AD3AD8"/>
    <w:rsid w:val="00B42C65"/>
    <w:rsid w:val="00B435E7"/>
    <w:rsid w:val="00B87643"/>
    <w:rsid w:val="00BA34EC"/>
    <w:rsid w:val="00BE1DC4"/>
    <w:rsid w:val="00BE639E"/>
    <w:rsid w:val="00C0170E"/>
    <w:rsid w:val="00C16924"/>
    <w:rsid w:val="00C34D00"/>
    <w:rsid w:val="00C532FD"/>
    <w:rsid w:val="00C758E4"/>
    <w:rsid w:val="00C94EB3"/>
    <w:rsid w:val="00C95F75"/>
    <w:rsid w:val="00C9751A"/>
    <w:rsid w:val="00CA725F"/>
    <w:rsid w:val="00CC3E1D"/>
    <w:rsid w:val="00D11025"/>
    <w:rsid w:val="00D426EF"/>
    <w:rsid w:val="00D80E82"/>
    <w:rsid w:val="00DA46C9"/>
    <w:rsid w:val="00DB79F4"/>
    <w:rsid w:val="00DD409E"/>
    <w:rsid w:val="00E025CE"/>
    <w:rsid w:val="00E05A8B"/>
    <w:rsid w:val="00E31D96"/>
    <w:rsid w:val="00E433AE"/>
    <w:rsid w:val="00E43737"/>
    <w:rsid w:val="00E80595"/>
    <w:rsid w:val="00E96205"/>
    <w:rsid w:val="00E96B70"/>
    <w:rsid w:val="00EC2268"/>
    <w:rsid w:val="00F07684"/>
    <w:rsid w:val="00F1401C"/>
    <w:rsid w:val="00F20A65"/>
    <w:rsid w:val="00F31BFE"/>
    <w:rsid w:val="00F71264"/>
    <w:rsid w:val="00F8400E"/>
    <w:rsid w:val="00FA143C"/>
    <w:rsid w:val="00FB386C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D0AF-40E8-4B2B-B0CC-FB72331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55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E4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1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p@powiat-mie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9710-8DC0-4260-A676-732C0A25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NATALIA.KOZIOL</cp:lastModifiedBy>
  <cp:revision>5</cp:revision>
  <cp:lastPrinted>2021-12-30T07:50:00Z</cp:lastPrinted>
  <dcterms:created xsi:type="dcterms:W3CDTF">2021-12-30T07:49:00Z</dcterms:created>
  <dcterms:modified xsi:type="dcterms:W3CDTF">2021-12-30T08:21:00Z</dcterms:modified>
</cp:coreProperties>
</file>